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33D75" w14:textId="77777777"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332CA3">
        <w:rPr>
          <w:sz w:val="24"/>
        </w:rPr>
        <w:t>7</w:t>
      </w:r>
      <w:r w:rsidR="007B3CB0">
        <w:rPr>
          <w:sz w:val="24"/>
        </w:rPr>
        <w:t>2</w:t>
      </w:r>
      <w:r w:rsidR="008C0E04">
        <w:rPr>
          <w:sz w:val="24"/>
        </w:rPr>
        <w:t>bis</w:t>
      </w:r>
      <w:r>
        <w:rPr>
          <w:sz w:val="24"/>
        </w:rPr>
        <w:t xml:space="preserve"> </w:t>
      </w:r>
      <w:r w:rsidRPr="002C1039">
        <w:rPr>
          <w:sz w:val="24"/>
        </w:rPr>
        <w:tab/>
      </w:r>
      <w:r>
        <w:rPr>
          <w:iCs/>
          <w:sz w:val="24"/>
        </w:rPr>
        <w:t>R4-</w:t>
      </w:r>
      <w:r w:rsidR="00AD342B">
        <w:rPr>
          <w:sz w:val="24"/>
          <w:szCs w:val="24"/>
        </w:rPr>
        <w:t>145726</w:t>
      </w:r>
    </w:p>
    <w:p w14:paraId="287975C4" w14:textId="77777777" w:rsidR="00E50C95" w:rsidRPr="00796F09" w:rsidRDefault="008C0E04" w:rsidP="00E50C95">
      <w:pPr>
        <w:pStyle w:val="Header"/>
        <w:tabs>
          <w:tab w:val="right" w:pos="9630"/>
        </w:tabs>
        <w:spacing w:after="120"/>
        <w:rPr>
          <w:sz w:val="24"/>
        </w:rPr>
      </w:pPr>
      <w:r>
        <w:rPr>
          <w:sz w:val="24"/>
        </w:rPr>
        <w:t>Singapore</w:t>
      </w:r>
      <w:r w:rsidR="00E50C95">
        <w:rPr>
          <w:sz w:val="24"/>
        </w:rPr>
        <w:t xml:space="preserve">, </w:t>
      </w:r>
      <w:r>
        <w:rPr>
          <w:sz w:val="24"/>
        </w:rPr>
        <w:t>6</w:t>
      </w:r>
      <w:r w:rsidR="00332CA3" w:rsidRPr="00332CA3">
        <w:rPr>
          <w:sz w:val="24"/>
          <w:vertAlign w:val="superscript"/>
        </w:rPr>
        <w:t>th</w:t>
      </w:r>
      <w:r w:rsidR="00332CA3">
        <w:rPr>
          <w:sz w:val="24"/>
        </w:rPr>
        <w:t xml:space="preserve"> </w:t>
      </w:r>
      <w:r>
        <w:rPr>
          <w:sz w:val="24"/>
        </w:rPr>
        <w:t>October</w:t>
      </w:r>
      <w:r w:rsidR="00332CA3">
        <w:rPr>
          <w:sz w:val="24"/>
        </w:rPr>
        <w:t xml:space="preserve"> – </w:t>
      </w:r>
      <w:r>
        <w:rPr>
          <w:sz w:val="24"/>
        </w:rPr>
        <w:t>10</w:t>
      </w:r>
      <w:r w:rsidRPr="008C0E04">
        <w:rPr>
          <w:sz w:val="24"/>
          <w:vertAlign w:val="superscript"/>
        </w:rPr>
        <w:t>th</w:t>
      </w:r>
      <w:r w:rsidR="007B3CB0">
        <w:rPr>
          <w:sz w:val="24"/>
        </w:rPr>
        <w:t xml:space="preserve"> </w:t>
      </w:r>
      <w:r>
        <w:rPr>
          <w:sz w:val="24"/>
        </w:rPr>
        <w:t>October</w:t>
      </w:r>
      <w:r w:rsidR="00E50C95">
        <w:rPr>
          <w:sz w:val="24"/>
        </w:rPr>
        <w:t xml:space="preserve"> </w:t>
      </w:r>
      <w:r w:rsidR="00E50C95" w:rsidRPr="00796F09">
        <w:rPr>
          <w:sz w:val="24"/>
        </w:rPr>
        <w:t>201</w:t>
      </w:r>
      <w:r w:rsidR="00E50C95">
        <w:rPr>
          <w:sz w:val="24"/>
        </w:rPr>
        <w:t>4</w:t>
      </w:r>
    </w:p>
    <w:p w14:paraId="56A7A5E3" w14:textId="77777777" w:rsidR="00624C4C" w:rsidRPr="009177A5" w:rsidRDefault="00624C4C" w:rsidP="00624C4C">
      <w:pPr>
        <w:spacing w:after="120"/>
        <w:ind w:left="1985" w:hanging="1985"/>
        <w:rPr>
          <w:rFonts w:ascii="Arial" w:hAnsi="Arial" w:cs="Arial"/>
          <w:b/>
          <w:lang w:val="en-US"/>
        </w:rPr>
      </w:pPr>
    </w:p>
    <w:p w14:paraId="7893CC74" w14:textId="7777777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591779EC" w14:textId="77777777"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8C0E04">
        <w:rPr>
          <w:rFonts w:ascii="Arial" w:hAnsi="Arial" w:cs="Arial"/>
          <w:lang w:val="en-US"/>
        </w:rPr>
        <w:t>Variable Duplexing for Extended AWS Band</w:t>
      </w:r>
    </w:p>
    <w:p w14:paraId="74AD2F45" w14:textId="77777777"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E23E65">
        <w:rPr>
          <w:rFonts w:ascii="Arial" w:hAnsi="Arial" w:cs="Arial"/>
          <w:lang w:val="en-US"/>
        </w:rPr>
        <w:t>9.1.1</w:t>
      </w:r>
    </w:p>
    <w:p w14:paraId="32FB506B" w14:textId="77777777"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701E15">
        <w:rPr>
          <w:rFonts w:ascii="Arial" w:hAnsi="Arial" w:cs="Arial"/>
          <w:bCs/>
          <w:lang w:val="en-US"/>
        </w:rPr>
        <w:t>Approval</w:t>
      </w:r>
    </w:p>
    <w:p w14:paraId="6E48F781" w14:textId="77777777" w:rsidR="00624C4C" w:rsidRPr="009177A5" w:rsidRDefault="00624C4C" w:rsidP="00624C4C">
      <w:pPr>
        <w:pBdr>
          <w:bottom w:val="single" w:sz="4" w:space="1" w:color="auto"/>
        </w:pBdr>
        <w:rPr>
          <w:rFonts w:ascii="Arial" w:hAnsi="Arial" w:cs="Arial"/>
          <w:lang w:val="en-US"/>
        </w:rPr>
      </w:pPr>
    </w:p>
    <w:p w14:paraId="004BF984" w14:textId="77777777" w:rsidR="00624C4C" w:rsidRDefault="00624C4C" w:rsidP="00624C4C">
      <w:pPr>
        <w:pStyle w:val="Heading2"/>
        <w:rPr>
          <w:lang w:val="en-US"/>
        </w:rPr>
      </w:pPr>
      <w:r>
        <w:rPr>
          <w:lang w:val="en-US"/>
        </w:rPr>
        <w:t>1</w:t>
      </w:r>
      <w:r>
        <w:rPr>
          <w:lang w:val="en-US"/>
        </w:rPr>
        <w:tab/>
        <w:t>Introduction</w:t>
      </w:r>
    </w:p>
    <w:p w14:paraId="7DAFF4EC" w14:textId="77777777" w:rsidR="008A4725" w:rsidRDefault="00C033A0" w:rsidP="00F64536">
      <w:pPr>
        <w:jc w:val="both"/>
        <w:rPr>
          <w:lang w:val="en-US"/>
        </w:rPr>
      </w:pPr>
      <w:r>
        <w:rPr>
          <w:lang w:val="en-US"/>
        </w:rPr>
        <w:t>A new</w:t>
      </w:r>
      <w:r w:rsidR="008A4725" w:rsidRPr="008A4725">
        <w:rPr>
          <w:lang w:val="en-US"/>
        </w:rPr>
        <w:t xml:space="preserve"> Study Item </w:t>
      </w:r>
      <w:r w:rsidR="0097158B">
        <w:rPr>
          <w:lang w:val="en-US"/>
        </w:rPr>
        <w:t xml:space="preserve">(SI) </w:t>
      </w:r>
      <w:r w:rsidR="008A4725" w:rsidRPr="008A4725">
        <w:rPr>
          <w:lang w:val="en-US"/>
        </w:rPr>
        <w:t>on “</w:t>
      </w:r>
      <w:r w:rsidR="007B3CB0">
        <w:rPr>
          <w:lang w:val="en-US"/>
        </w:rPr>
        <w:t>AWS-Extension Band for LTE</w:t>
      </w:r>
      <w:r w:rsidR="008A4725" w:rsidRPr="008A4725">
        <w:rPr>
          <w:lang w:val="en-US"/>
        </w:rPr>
        <w:t xml:space="preserve">” was approved at </w:t>
      </w:r>
      <w:r w:rsidR="007B3CB0">
        <w:rPr>
          <w:lang w:val="en-US"/>
        </w:rPr>
        <w:t>RAN #64</w:t>
      </w:r>
      <w:r w:rsidR="008A4725" w:rsidRPr="008A4725">
        <w:rPr>
          <w:lang w:val="en-US"/>
        </w:rPr>
        <w:t xml:space="preserve"> [1]</w:t>
      </w:r>
      <w:r w:rsidR="007B3CB0">
        <w:rPr>
          <w:lang w:val="en-US"/>
        </w:rPr>
        <w:t xml:space="preserve">.  </w:t>
      </w:r>
      <w:r w:rsidR="0097158B">
        <w:rPr>
          <w:lang w:val="en-US"/>
        </w:rPr>
        <w:t xml:space="preserve">The objective of the SI is to evaluate various </w:t>
      </w:r>
      <w:r w:rsidR="00C77E6D">
        <w:rPr>
          <w:lang w:val="en-US"/>
        </w:rPr>
        <w:t xml:space="preserve">candidate band plans for an extended AWS band plan and </w:t>
      </w:r>
      <w:r w:rsidR="00A7214B">
        <w:rPr>
          <w:lang w:val="en-US"/>
        </w:rPr>
        <w:t>recommend</w:t>
      </w:r>
      <w:r w:rsidR="00C77E6D">
        <w:rPr>
          <w:lang w:val="en-US"/>
        </w:rPr>
        <w:t xml:space="preserve"> a </w:t>
      </w:r>
      <w:r w:rsidR="00A7214B">
        <w:rPr>
          <w:lang w:val="en-US"/>
        </w:rPr>
        <w:t>single band plan</w:t>
      </w:r>
      <w:r w:rsidR="00E03784">
        <w:rPr>
          <w:lang w:val="en-US"/>
        </w:rPr>
        <w:t xml:space="preserve"> to proceed to a Work Item</w:t>
      </w:r>
      <w:r w:rsidR="00A7214B">
        <w:rPr>
          <w:lang w:val="en-US"/>
        </w:rPr>
        <w:t xml:space="preserve">.  </w:t>
      </w:r>
      <w:r w:rsidR="00FD0005">
        <w:rPr>
          <w:lang w:val="en-US"/>
        </w:rPr>
        <w:t>This contribution discusses variable duplex</w:t>
      </w:r>
      <w:r w:rsidR="00920F8F">
        <w:rPr>
          <w:lang w:val="en-US"/>
        </w:rPr>
        <w:t>ing</w:t>
      </w:r>
      <w:r w:rsidR="00FD0005">
        <w:rPr>
          <w:lang w:val="en-US"/>
        </w:rPr>
        <w:t xml:space="preserve"> related </w:t>
      </w:r>
      <w:r w:rsidR="00D658EB">
        <w:rPr>
          <w:lang w:val="en-US"/>
        </w:rPr>
        <w:t>concerns</w:t>
      </w:r>
      <w:r w:rsidR="00FD0005">
        <w:rPr>
          <w:lang w:val="en-US"/>
        </w:rPr>
        <w:t xml:space="preserve"> raised in RAN4 #72 and </w:t>
      </w:r>
      <w:r w:rsidR="00AF19D4">
        <w:rPr>
          <w:lang w:val="en-US"/>
        </w:rPr>
        <w:t>proposes solutions</w:t>
      </w:r>
      <w:r w:rsidR="00D658EB">
        <w:rPr>
          <w:lang w:val="en-US"/>
        </w:rPr>
        <w:t xml:space="preserve"> to address them.</w:t>
      </w:r>
    </w:p>
    <w:p w14:paraId="6253F5DF" w14:textId="77777777" w:rsidR="00E03784" w:rsidRDefault="00E03784" w:rsidP="00F64536">
      <w:pPr>
        <w:jc w:val="both"/>
        <w:rPr>
          <w:lang w:val="en-US"/>
        </w:rPr>
      </w:pPr>
    </w:p>
    <w:p w14:paraId="4A0C6911" w14:textId="77777777" w:rsidR="00624C4C" w:rsidRDefault="00624C4C" w:rsidP="00624C4C">
      <w:pPr>
        <w:pStyle w:val="Heading2"/>
      </w:pPr>
      <w:bookmarkStart w:id="13" w:name="_Toc354623709"/>
      <w:r>
        <w:rPr>
          <w:lang w:val="en-US"/>
        </w:rPr>
        <w:t>2</w:t>
      </w:r>
      <w:r>
        <w:rPr>
          <w:lang w:val="en-US"/>
        </w:rPr>
        <w:tab/>
      </w:r>
      <w:r w:rsidR="008C0E04">
        <w:t>Discussion</w:t>
      </w:r>
    </w:p>
    <w:p w14:paraId="59279115" w14:textId="77777777" w:rsidR="00FD0005" w:rsidRDefault="00FD0005" w:rsidP="00FD0005">
      <w:r>
        <w:t>The SI proposes three main band plan options for a new extended AWS band [1]:</w:t>
      </w:r>
    </w:p>
    <w:p w14:paraId="5DF5BFA6" w14:textId="77777777" w:rsidR="00FD0005" w:rsidRDefault="00FD0005" w:rsidP="00FD0005">
      <w:pPr>
        <w:pStyle w:val="MediumGrid21"/>
        <w:numPr>
          <w:ilvl w:val="0"/>
          <w:numId w:val="27"/>
        </w:numPr>
        <w:textAlignment w:val="auto"/>
      </w:pPr>
      <w:r>
        <w:t>70+70 (1710 - 1780 MHz / 2110 - 2180 MHz, fixed duplex)</w:t>
      </w:r>
    </w:p>
    <w:p w14:paraId="37C62829" w14:textId="77777777" w:rsidR="00FD0005" w:rsidRDefault="00FD0005" w:rsidP="00FD0005">
      <w:pPr>
        <w:pStyle w:val="MediumGrid21"/>
        <w:numPr>
          <w:ilvl w:val="0"/>
          <w:numId w:val="27"/>
        </w:numPr>
        <w:textAlignment w:val="auto"/>
      </w:pPr>
      <w:r>
        <w:t>70+90 (1710 - 1780 MHz / 2110 - 2200 MHz, variable duplex)</w:t>
      </w:r>
    </w:p>
    <w:p w14:paraId="47FF731A" w14:textId="77777777" w:rsidR="00FD0005" w:rsidRDefault="00FD0005" w:rsidP="00FD0005">
      <w:pPr>
        <w:pStyle w:val="MediumGrid21"/>
        <w:numPr>
          <w:ilvl w:val="0"/>
          <w:numId w:val="27"/>
        </w:numPr>
        <w:textAlignment w:val="auto"/>
      </w:pPr>
      <w:r>
        <w:t>85+90 (1695 - 1780 MHz / 2110 - 2200 MHz, variable duplex)</w:t>
      </w:r>
    </w:p>
    <w:p w14:paraId="2DEF8DDB" w14:textId="77777777" w:rsidR="00FD0005" w:rsidRDefault="00FD0005" w:rsidP="00FD0005">
      <w:pPr>
        <w:pStyle w:val="MediumGrid21"/>
        <w:textAlignment w:val="auto"/>
      </w:pPr>
    </w:p>
    <w:p w14:paraId="5A21C321" w14:textId="77777777" w:rsidR="00FD0005" w:rsidRDefault="00FD0005" w:rsidP="00FD0005">
      <w:r>
        <w:t xml:space="preserve">The two asymmetric band plan options (70+90 MHz and 85+90 MHz) are specified with variable duplexing. </w:t>
      </w:r>
      <w:r w:rsidR="00A25758">
        <w:t xml:space="preserve"> </w:t>
      </w:r>
      <w:r w:rsidR="000B4838">
        <w:rPr>
          <w:vanish/>
        </w:rPr>
        <w:t>s</w:t>
      </w:r>
      <w:r w:rsidR="00597A7A">
        <w:t>I</w:t>
      </w:r>
      <w:r w:rsidR="006056AC">
        <w:t>n RAN4 #72, many contributions [</w:t>
      </w:r>
      <w:r w:rsidR="00C80D9B">
        <w:t>2-6</w:t>
      </w:r>
      <w:r w:rsidR="006056AC">
        <w:t>] discussed variable duplexing</w:t>
      </w:r>
      <w:r w:rsidR="00007C52">
        <w:t xml:space="preserve">.  It </w:t>
      </w:r>
      <w:r w:rsidR="009B5373">
        <w:t>is</w:t>
      </w:r>
      <w:r w:rsidR="00007C52">
        <w:t xml:space="preserve"> pointed </w:t>
      </w:r>
      <w:r w:rsidR="002C4DB3">
        <w:t>[2]</w:t>
      </w:r>
      <w:r w:rsidR="00007C52">
        <w:t xml:space="preserve"> that </w:t>
      </w:r>
      <w:r w:rsidR="00AF19D4">
        <w:t>the</w:t>
      </w:r>
      <w:r w:rsidR="006E7ECF">
        <w:t xml:space="preserve"> signalling </w:t>
      </w:r>
      <w:r w:rsidR="002C4DB3">
        <w:t xml:space="preserve">to support </w:t>
      </w:r>
      <w:r w:rsidR="006E7ECF">
        <w:t xml:space="preserve">variable duplexing is already in place in the current specifications </w:t>
      </w:r>
      <w:r w:rsidR="00007C52">
        <w:t xml:space="preserve">and </w:t>
      </w:r>
      <w:r w:rsidR="009B5373">
        <w:t>RAN4 has</w:t>
      </w:r>
      <w:r w:rsidR="00007C52">
        <w:t xml:space="preserve"> </w:t>
      </w:r>
      <w:r w:rsidR="00AE1B5A">
        <w:t>implemented a variable duplex scenario</w:t>
      </w:r>
      <w:r w:rsidR="002C4DB3">
        <w:t xml:space="preserve"> for </w:t>
      </w:r>
      <w:bookmarkStart w:id="14" w:name="_GoBack"/>
      <w:bookmarkEnd w:id="14"/>
      <w:r w:rsidR="00AE1B5A">
        <w:t xml:space="preserve">the </w:t>
      </w:r>
      <w:r w:rsidR="00007C52">
        <w:t xml:space="preserve">Band 23 work item </w:t>
      </w:r>
      <w:r w:rsidR="006E7ECF">
        <w:t>[2].</w:t>
      </w:r>
      <w:r w:rsidR="002D3EA5">
        <w:t xml:space="preserve"> </w:t>
      </w:r>
      <w:r w:rsidR="006E7ECF">
        <w:t xml:space="preserve"> </w:t>
      </w:r>
      <w:r w:rsidR="003A15A1">
        <w:t xml:space="preserve"> </w:t>
      </w:r>
      <w:r w:rsidR="002C4DB3">
        <w:t xml:space="preserve">The </w:t>
      </w:r>
      <w:r w:rsidR="00AE1B5A">
        <w:t>remaining</w:t>
      </w:r>
      <w:r w:rsidR="002B5583">
        <w:t xml:space="preserve"> concerns around variable duplexing are summarized below:</w:t>
      </w:r>
    </w:p>
    <w:p w14:paraId="5C47A825" w14:textId="77777777" w:rsidR="006E1297" w:rsidRDefault="006E1297" w:rsidP="002B5583">
      <w:pPr>
        <w:numPr>
          <w:ilvl w:val="0"/>
          <w:numId w:val="30"/>
        </w:numPr>
      </w:pPr>
      <w:r>
        <w:t xml:space="preserve">Specification, testing and verification complexities involving a large number of duplexing </w:t>
      </w:r>
      <w:r w:rsidR="0091671A">
        <w:t>spacing options</w:t>
      </w:r>
    </w:p>
    <w:p w14:paraId="440A8781" w14:textId="77777777" w:rsidR="006E1297" w:rsidRDefault="005A7BF6" w:rsidP="002B5583">
      <w:pPr>
        <w:numPr>
          <w:ilvl w:val="0"/>
          <w:numId w:val="30"/>
        </w:numPr>
      </w:pPr>
      <w:r>
        <w:t>D</w:t>
      </w:r>
      <w:r w:rsidR="0037766D">
        <w:t>eployment uncertainties involving variable duplexing</w:t>
      </w:r>
    </w:p>
    <w:p w14:paraId="62FD4790" w14:textId="77777777" w:rsidR="00AE1B5A" w:rsidRDefault="0037766D" w:rsidP="00CA5703">
      <w:r>
        <w:t xml:space="preserve">Regarding the specification and testing/verification complexities, it was suggested in [2,5] that </w:t>
      </w:r>
      <w:r w:rsidR="00E05D4F">
        <w:t xml:space="preserve">these requirements could be </w:t>
      </w:r>
      <w:r w:rsidR="00AE1B5A">
        <w:t xml:space="preserve">reduced </w:t>
      </w:r>
      <w:r w:rsidR="00E05D4F">
        <w:t xml:space="preserve">to specific deployment scenarios so that the </w:t>
      </w:r>
      <w:r w:rsidR="00AE1B5A">
        <w:t xml:space="preserve">cases </w:t>
      </w:r>
      <w:r w:rsidR="00E05D4F">
        <w:t xml:space="preserve">are bounded.  </w:t>
      </w:r>
    </w:p>
    <w:p w14:paraId="29AF4824" w14:textId="77777777" w:rsidR="00AF19D4" w:rsidRDefault="00E05D4F" w:rsidP="00CA5703">
      <w:r>
        <w:t xml:space="preserve">Regarding the deployment uncertainties, </w:t>
      </w:r>
      <w:r w:rsidR="001F7546">
        <w:t xml:space="preserve">it is proposed that RAN4 address specific deployment scenarios involving variable duplexing during the </w:t>
      </w:r>
      <w:r w:rsidR="003D08C5">
        <w:t xml:space="preserve">subsequent </w:t>
      </w:r>
      <w:r w:rsidR="001F7546">
        <w:t xml:space="preserve">work item phase when the band plan and operator </w:t>
      </w:r>
      <w:r w:rsidR="00AF19D4">
        <w:t>requirements</w:t>
      </w:r>
      <w:r w:rsidR="001F7546">
        <w:t xml:space="preserve"> are known.</w:t>
      </w:r>
      <w:r w:rsidR="00F90C1A">
        <w:t xml:space="preserve">  </w:t>
      </w:r>
    </w:p>
    <w:p w14:paraId="446F44FA" w14:textId="77777777" w:rsidR="00597A7A" w:rsidRDefault="00B670CD" w:rsidP="00CA5703">
      <w:r>
        <w:t xml:space="preserve">Per the SI objective [1], the </w:t>
      </w:r>
      <w:r w:rsidR="003C0387">
        <w:t>decision</w:t>
      </w:r>
      <w:r>
        <w:t xml:space="preserve"> </w:t>
      </w:r>
      <w:r w:rsidR="003C0387">
        <w:t>for</w:t>
      </w:r>
      <w:r>
        <w:t xml:space="preserve"> variable duplexing </w:t>
      </w:r>
      <w:r w:rsidR="004F215F">
        <w:t xml:space="preserve">support </w:t>
      </w:r>
      <w:r w:rsidR="00AF19D4">
        <w:t xml:space="preserve">could </w:t>
      </w:r>
      <w:r>
        <w:t xml:space="preserve">be </w:t>
      </w:r>
      <w:r w:rsidR="003C0387">
        <w:t>made</w:t>
      </w:r>
      <w:r>
        <w:t xml:space="preserve"> </w:t>
      </w:r>
      <w:r w:rsidR="00CA5703">
        <w:t>based on “</w:t>
      </w:r>
      <w:r w:rsidR="00CA5703" w:rsidRPr="00CA5703">
        <w:rPr>
          <w:i/>
        </w:rPr>
        <w:t>technical feasibility, impediments, interoperability and efficient spectrum utilization</w:t>
      </w:r>
      <w:r w:rsidR="00CA5703">
        <w:t xml:space="preserve">”; actual scope </w:t>
      </w:r>
      <w:r w:rsidR="00AF19D4">
        <w:t xml:space="preserve">and specific </w:t>
      </w:r>
      <w:r w:rsidR="00AC185C">
        <w:t>implementation of</w:t>
      </w:r>
      <w:r w:rsidR="00CA5703">
        <w:t xml:space="preserve"> variable duplexing can</w:t>
      </w:r>
      <w:r w:rsidR="00AF19D4">
        <w:t xml:space="preserve"> </w:t>
      </w:r>
      <w:r w:rsidR="00CA5703">
        <w:t>be addressed in the work item phase.</w:t>
      </w:r>
    </w:p>
    <w:p w14:paraId="7BB5F1A0" w14:textId="77777777" w:rsidR="00CA5703" w:rsidRPr="00CA5703" w:rsidRDefault="00CA5703" w:rsidP="00CA5703"/>
    <w:p w14:paraId="0E0379EB" w14:textId="77777777" w:rsidR="00D15A55" w:rsidRDefault="00624C4C" w:rsidP="00ED1119">
      <w:pPr>
        <w:pStyle w:val="Heading2"/>
      </w:pPr>
      <w:r>
        <w:rPr>
          <w:lang w:val="en-US"/>
        </w:rPr>
        <w:t>3</w:t>
      </w:r>
      <w:r>
        <w:rPr>
          <w:lang w:val="en-US"/>
        </w:rPr>
        <w:tab/>
      </w:r>
      <w:r w:rsidR="001F7546">
        <w:t>Proposal</w:t>
      </w:r>
    </w:p>
    <w:p w14:paraId="3668EA56" w14:textId="77777777" w:rsidR="00502F4E" w:rsidRDefault="001F7546" w:rsidP="00502F4E">
      <w:pPr>
        <w:pStyle w:val="MediumGrid21"/>
      </w:pPr>
      <w:r>
        <w:t>While the signalling necessary for supporting variable duplexing exists in the current speci</w:t>
      </w:r>
      <w:r w:rsidR="004B571D">
        <w:t>fications, some concerns regarding testing/verification complexities and deployment uncertainties</w:t>
      </w:r>
      <w:r w:rsidR="003D08C5">
        <w:t xml:space="preserve"> have been raised</w:t>
      </w:r>
      <w:r w:rsidR="003A4A28">
        <w:t xml:space="preserve"> previously</w:t>
      </w:r>
      <w:r w:rsidR="004B571D">
        <w:t>. Therefore, it is proposed</w:t>
      </w:r>
      <w:r w:rsidR="006A7703">
        <w:t xml:space="preserve"> </w:t>
      </w:r>
      <w:r w:rsidR="00AC185C">
        <w:t>for asymmetric candidate band plans that</w:t>
      </w:r>
      <w:r w:rsidR="004B571D">
        <w:t>:</w:t>
      </w:r>
    </w:p>
    <w:p w14:paraId="71F2C765" w14:textId="77777777" w:rsidR="004B571D" w:rsidRDefault="004B571D" w:rsidP="00502F4E">
      <w:pPr>
        <w:pStyle w:val="MediumGrid21"/>
      </w:pPr>
    </w:p>
    <w:p w14:paraId="09D86BF3" w14:textId="77777777" w:rsidR="00E73B4C" w:rsidRDefault="00E73B4C" w:rsidP="00327B6B">
      <w:pPr>
        <w:pStyle w:val="MediumGrid21"/>
        <w:textAlignment w:val="auto"/>
        <w:rPr>
          <w:b/>
        </w:rPr>
      </w:pPr>
      <w:r>
        <w:rPr>
          <w:b/>
        </w:rPr>
        <w:t>Proposal #1:  V</w:t>
      </w:r>
      <w:r w:rsidRPr="00E73B4C">
        <w:rPr>
          <w:b/>
        </w:rPr>
        <w:t xml:space="preserve">ariable duplexing be </w:t>
      </w:r>
      <w:r w:rsidR="00130C69">
        <w:rPr>
          <w:b/>
        </w:rPr>
        <w:t xml:space="preserve">supported </w:t>
      </w:r>
      <w:r w:rsidRPr="00E73B4C">
        <w:rPr>
          <w:b/>
        </w:rPr>
        <w:t>to achieve maximum spectrum utilization</w:t>
      </w:r>
      <w:r>
        <w:rPr>
          <w:b/>
        </w:rPr>
        <w:t xml:space="preserve"> and flexibility</w:t>
      </w:r>
    </w:p>
    <w:p w14:paraId="4EB1FF4D" w14:textId="77777777" w:rsidR="00E73B4C" w:rsidRDefault="00E73B4C" w:rsidP="00327B6B">
      <w:pPr>
        <w:pStyle w:val="MediumGrid21"/>
        <w:textAlignment w:val="auto"/>
        <w:rPr>
          <w:b/>
        </w:rPr>
      </w:pPr>
    </w:p>
    <w:p w14:paraId="1D9C0564" w14:textId="77777777" w:rsidR="00327B6B" w:rsidRPr="000021B0" w:rsidRDefault="00327B6B" w:rsidP="00327B6B">
      <w:pPr>
        <w:pStyle w:val="MediumGrid21"/>
        <w:textAlignment w:val="auto"/>
        <w:rPr>
          <w:b/>
        </w:rPr>
      </w:pPr>
      <w:r>
        <w:rPr>
          <w:b/>
        </w:rPr>
        <w:t>Proposal</w:t>
      </w:r>
      <w:r w:rsidRPr="000021B0">
        <w:rPr>
          <w:b/>
        </w:rPr>
        <w:t xml:space="preserve"> #</w:t>
      </w:r>
      <w:r w:rsidR="00E73B4C">
        <w:rPr>
          <w:b/>
        </w:rPr>
        <w:t>2</w:t>
      </w:r>
      <w:r w:rsidRPr="000021B0">
        <w:rPr>
          <w:b/>
        </w:rPr>
        <w:t xml:space="preserve">:  </w:t>
      </w:r>
      <w:r w:rsidR="003A4A28">
        <w:rPr>
          <w:b/>
        </w:rPr>
        <w:t>Variable duplexing related s</w:t>
      </w:r>
      <w:r>
        <w:rPr>
          <w:b/>
        </w:rPr>
        <w:t>pecifications, testing</w:t>
      </w:r>
      <w:r w:rsidR="00E73B4C">
        <w:rPr>
          <w:b/>
        </w:rPr>
        <w:t xml:space="preserve"> and verification requirements</w:t>
      </w:r>
      <w:r>
        <w:rPr>
          <w:b/>
        </w:rPr>
        <w:t xml:space="preserve"> be limited to specific deployment cases and not be left unbounded</w:t>
      </w:r>
    </w:p>
    <w:p w14:paraId="05878DB2" w14:textId="77777777" w:rsidR="00327B6B" w:rsidRDefault="00327B6B" w:rsidP="00327B6B">
      <w:pPr>
        <w:pStyle w:val="MediumGrid21"/>
      </w:pPr>
    </w:p>
    <w:p w14:paraId="3C539A44" w14:textId="77777777" w:rsidR="00D03467" w:rsidRDefault="00327B6B" w:rsidP="001043A5">
      <w:pPr>
        <w:pStyle w:val="MediumGrid21"/>
        <w:textAlignment w:val="auto"/>
        <w:rPr>
          <w:b/>
          <w:color w:val="000000"/>
        </w:rPr>
      </w:pPr>
      <w:r>
        <w:rPr>
          <w:b/>
          <w:color w:val="000000"/>
        </w:rPr>
        <w:t>Proposal</w:t>
      </w:r>
      <w:r w:rsidRPr="00644C52">
        <w:rPr>
          <w:b/>
          <w:color w:val="000000"/>
        </w:rPr>
        <w:t xml:space="preserve"> #</w:t>
      </w:r>
      <w:r w:rsidR="00E73B4C">
        <w:rPr>
          <w:b/>
          <w:color w:val="000000"/>
        </w:rPr>
        <w:t>3</w:t>
      </w:r>
      <w:r w:rsidRPr="00644C52">
        <w:rPr>
          <w:b/>
          <w:color w:val="000000"/>
        </w:rPr>
        <w:t xml:space="preserve">:  </w:t>
      </w:r>
      <w:r>
        <w:rPr>
          <w:b/>
          <w:color w:val="000000"/>
        </w:rPr>
        <w:t xml:space="preserve">RAN4 </w:t>
      </w:r>
      <w:r w:rsidR="008B2FF7">
        <w:rPr>
          <w:b/>
          <w:color w:val="000000"/>
        </w:rPr>
        <w:t xml:space="preserve">can </w:t>
      </w:r>
      <w:r>
        <w:rPr>
          <w:b/>
          <w:color w:val="000000"/>
        </w:rPr>
        <w:t>address specific deployment scenarios</w:t>
      </w:r>
      <w:r w:rsidR="003A4A28">
        <w:rPr>
          <w:b/>
          <w:color w:val="000000"/>
        </w:rPr>
        <w:t xml:space="preserve"> requiring variable duplexing</w:t>
      </w:r>
      <w:r>
        <w:rPr>
          <w:b/>
          <w:color w:val="000000"/>
        </w:rPr>
        <w:t>, as well as corresponding specifications requirements, in the work item phase</w:t>
      </w:r>
    </w:p>
    <w:p w14:paraId="6E51E9CF" w14:textId="77777777" w:rsidR="001043A5" w:rsidRPr="001043A5" w:rsidRDefault="001043A5" w:rsidP="001043A5">
      <w:pPr>
        <w:pStyle w:val="MediumGrid21"/>
        <w:textAlignment w:val="auto"/>
        <w:rPr>
          <w:b/>
          <w:color w:val="000000"/>
        </w:rPr>
      </w:pPr>
    </w:p>
    <w:p w14:paraId="57839280" w14:textId="77777777" w:rsidR="008735D1" w:rsidRDefault="008735D1" w:rsidP="008735D1">
      <w:pPr>
        <w:pStyle w:val="Heading2"/>
      </w:pPr>
      <w:r>
        <w:lastRenderedPageBreak/>
        <w:t>References</w:t>
      </w:r>
    </w:p>
    <w:p w14:paraId="6D980C58" w14:textId="77777777" w:rsidR="008A4725" w:rsidRDefault="008A4725" w:rsidP="008A4725">
      <w:pPr>
        <w:pStyle w:val="myReference"/>
        <w:rPr>
          <w:rFonts w:eastAsia="Malgun Gothic"/>
        </w:rPr>
      </w:pPr>
      <w:bookmarkStart w:id="15" w:name="_Ref355944417"/>
      <w:r w:rsidRPr="00CC4770">
        <w:rPr>
          <w:rFonts w:eastAsia="Malgun Gothic"/>
        </w:rPr>
        <w:t>RP-</w:t>
      </w:r>
      <w:r w:rsidR="00BF5735">
        <w:rPr>
          <w:rFonts w:eastAsia="Malgun Gothic"/>
        </w:rPr>
        <w:t>141037</w:t>
      </w:r>
      <w:r w:rsidRPr="00CC4770">
        <w:rPr>
          <w:rFonts w:eastAsia="Malgun Gothic"/>
        </w:rPr>
        <w:t>,</w:t>
      </w:r>
      <w:bookmarkEnd w:id="15"/>
      <w:r w:rsidR="00BF5735">
        <w:rPr>
          <w:rFonts w:eastAsia="Malgun Gothic"/>
        </w:rPr>
        <w:t xml:space="preserve"> “</w:t>
      </w:r>
      <w:r w:rsidR="00BF5735" w:rsidRPr="00BF5735">
        <w:rPr>
          <w:rFonts w:eastAsia="Malgun Gothic"/>
        </w:rPr>
        <w:t>New Study Item Proposal: AWS-Extension Band for LTE</w:t>
      </w:r>
      <w:r w:rsidR="00BF5735">
        <w:rPr>
          <w:rFonts w:eastAsia="Malgun Gothic"/>
        </w:rPr>
        <w:t xml:space="preserve">”, </w:t>
      </w:r>
      <w:r w:rsidR="00BF5735" w:rsidRPr="00BF5735">
        <w:rPr>
          <w:rFonts w:eastAsia="Malgun Gothic"/>
        </w:rPr>
        <w:t>Verizon, US Cellular, AT&amp;T, Qualcomm, Alcatel-Lucent, LGE, Motorola Mobility, Samsung, SouthernLINC Wireless, Intel, T-Mobile USA, NSN, Nokia, DISH Network, Broadcom</w:t>
      </w:r>
      <w:r w:rsidR="00BF5735">
        <w:rPr>
          <w:rFonts w:eastAsia="Malgun Gothic"/>
        </w:rPr>
        <w:t>, 3GPP RAN#64, Sophia Antipolis, France, June 2014</w:t>
      </w:r>
    </w:p>
    <w:bookmarkEnd w:id="0"/>
    <w:bookmarkEnd w:id="1"/>
    <w:bookmarkEnd w:id="2"/>
    <w:bookmarkEnd w:id="3"/>
    <w:bookmarkEnd w:id="4"/>
    <w:bookmarkEnd w:id="5"/>
    <w:bookmarkEnd w:id="6"/>
    <w:bookmarkEnd w:id="7"/>
    <w:bookmarkEnd w:id="8"/>
    <w:bookmarkEnd w:id="9"/>
    <w:bookmarkEnd w:id="10"/>
    <w:bookmarkEnd w:id="11"/>
    <w:bookmarkEnd w:id="13"/>
    <w:p w14:paraId="7D1E6F9F" w14:textId="77777777" w:rsidR="00C80D9B" w:rsidRDefault="006056AC" w:rsidP="00C80D9B">
      <w:pPr>
        <w:pStyle w:val="myReference"/>
        <w:rPr>
          <w:rFonts w:eastAsia="Malgun Gothic"/>
        </w:rPr>
      </w:pPr>
      <w:r>
        <w:rPr>
          <w:rFonts w:eastAsia="Malgun Gothic"/>
        </w:rPr>
        <w:t xml:space="preserve">R4-144236, “Variable duplexing for extended AWS band”, </w:t>
      </w:r>
      <w:r w:rsidR="00C80D9B">
        <w:rPr>
          <w:rFonts w:eastAsia="Malgun Gothic"/>
        </w:rPr>
        <w:t>DISH Network, 3GPP RAN4 #72, Dresden, Germany, August 2014</w:t>
      </w:r>
    </w:p>
    <w:p w14:paraId="13AD1715" w14:textId="77777777" w:rsidR="00C80D9B" w:rsidRDefault="00C80D9B" w:rsidP="00C80D9B">
      <w:pPr>
        <w:pStyle w:val="myReference"/>
        <w:rPr>
          <w:rFonts w:eastAsia="Malgun Gothic"/>
        </w:rPr>
      </w:pPr>
      <w:r>
        <w:rPr>
          <w:rFonts w:eastAsia="Malgun Gothic"/>
        </w:rPr>
        <w:t>R4-144241, “</w:t>
      </w:r>
      <w:r w:rsidRPr="00C80D9B">
        <w:rPr>
          <w:rFonts w:eastAsia="Malgun Gothic"/>
        </w:rPr>
        <w:t>Analysis of AWS extension options</w:t>
      </w:r>
      <w:r>
        <w:rPr>
          <w:rFonts w:eastAsia="Malgun Gothic"/>
        </w:rPr>
        <w:t>”, Nokia, 3GPP RAN4 #72, Dresden, Germany, August 2014</w:t>
      </w:r>
    </w:p>
    <w:p w14:paraId="725B3EE4" w14:textId="77777777" w:rsidR="00C80D9B" w:rsidRDefault="00C80D9B" w:rsidP="00C80D9B">
      <w:pPr>
        <w:pStyle w:val="myReference"/>
        <w:rPr>
          <w:rFonts w:eastAsia="Malgun Gothic"/>
        </w:rPr>
      </w:pPr>
      <w:r>
        <w:rPr>
          <w:rFonts w:eastAsia="Malgun Gothic"/>
        </w:rPr>
        <w:t>R4-144992, “</w:t>
      </w:r>
      <w:r w:rsidRPr="00C80D9B">
        <w:rPr>
          <w:rFonts w:eastAsia="Malgun Gothic"/>
        </w:rPr>
        <w:t>Possible band plans for the AWS extension</w:t>
      </w:r>
      <w:r>
        <w:rPr>
          <w:rFonts w:eastAsia="Malgun Gothic"/>
        </w:rPr>
        <w:t>”, Ericsson, 3GPP RAN4 #72, Dresden, Germany, August 2014</w:t>
      </w:r>
    </w:p>
    <w:p w14:paraId="3188AEDC" w14:textId="77777777" w:rsidR="00C80D9B" w:rsidRDefault="00C80D9B" w:rsidP="00C80D9B">
      <w:pPr>
        <w:pStyle w:val="myReference"/>
        <w:rPr>
          <w:rFonts w:eastAsia="Malgun Gothic"/>
        </w:rPr>
      </w:pPr>
      <w:r>
        <w:rPr>
          <w:rFonts w:eastAsia="Malgun Gothic"/>
        </w:rPr>
        <w:t>R4-145134, “</w:t>
      </w:r>
      <w:r w:rsidRPr="00C80D9B">
        <w:rPr>
          <w:rFonts w:eastAsia="Malgun Gothic"/>
        </w:rPr>
        <w:t>Variable duplexing options for extended AWS band</w:t>
      </w:r>
      <w:r>
        <w:rPr>
          <w:rFonts w:eastAsia="Malgun Gothic"/>
        </w:rPr>
        <w:t>”, Qualcomm Incorporated, 3GPP RAN4 #72, Dresden, Germany, August 2014</w:t>
      </w:r>
    </w:p>
    <w:p w14:paraId="63A8F57A" w14:textId="77777777" w:rsidR="00661971" w:rsidRDefault="00C80D9B" w:rsidP="006056AC">
      <w:pPr>
        <w:pStyle w:val="myReference"/>
        <w:rPr>
          <w:rFonts w:eastAsia="Malgun Gothic"/>
        </w:rPr>
      </w:pPr>
      <w:r>
        <w:rPr>
          <w:rFonts w:eastAsia="Malgun Gothic"/>
        </w:rPr>
        <w:t>R4-145258, “</w:t>
      </w:r>
      <w:r w:rsidRPr="00C80D9B">
        <w:rPr>
          <w:rFonts w:eastAsia="Malgun Gothic"/>
        </w:rPr>
        <w:t>AWS3 Usage</w:t>
      </w:r>
      <w:r>
        <w:rPr>
          <w:rFonts w:eastAsia="Malgun Gothic"/>
        </w:rPr>
        <w:t>”, Intel Corporation, 3GPP RAN4 #72, Dresden, Germany, August 2014</w:t>
      </w:r>
    </w:p>
    <w:p w14:paraId="63DE3511" w14:textId="77777777" w:rsidR="001043A5" w:rsidRDefault="001043A5" w:rsidP="001043A5">
      <w:pPr>
        <w:rPr>
          <w:rFonts w:eastAsia="Malgun Gothic"/>
        </w:rPr>
      </w:pPr>
    </w:p>
    <w:p w14:paraId="5EA6AEA8" w14:textId="77777777" w:rsidR="001043A5" w:rsidRPr="00D16B45" w:rsidRDefault="001043A5" w:rsidP="001043A5">
      <w:pPr>
        <w:pStyle w:val="MediumGrid21"/>
        <w:rPr>
          <w:i/>
        </w:rPr>
      </w:pPr>
      <w:r w:rsidRPr="00D16B45">
        <w:rPr>
          <w:i/>
        </w:rPr>
        <w:t>****  This communication is submitted pursuant to the FCC’s AWS-3 Order, which states, among other things, that industry standard-setting meetings “would not fall within the prohibition in section 1.2105(c) unless they divulge bids or bidding strategies or discuss or negotiate settlement agreements, arrangements or understandings of any kind relating to the licenses being auctioned, including agreements relating to the post-auction market structure.”  See Amendment of the Commission’s Rules with Regard to Commercial Operations in the 1695-1710 MHz, 1755-1780 MHz, and 2155-2180 MHz Bands, Report and Order, 29 FCC Rcd 4610, 4676 (2014) (“AWS-3 Order”).  In light of this, discussions regarding the AWS Extension Study should be able to continue during the period in which the anti-collusion rule is in effect, as 3GPP discussions involve analyses of engineering and technical data regarding the AWS-3 band, including achieving the FCC’s mandates.   As part of the auction process for AWS-3, DISH filed an application to participate as a potential bidder for those spectrum assets. Because of the FCC’s anti-collusion rules, we are not able to discuss what, if any, spectrum resources we may intend to bid on, divulge bids or bidding strategies or discuss or negotiate settlement agreements, arrangements or understandings of any kind relating to the licenses being auctioned, including agreements relating to the post-auction market structure.</w:t>
      </w:r>
    </w:p>
    <w:p w14:paraId="3B8748EF" w14:textId="77777777" w:rsidR="001043A5" w:rsidRPr="001043A5" w:rsidRDefault="001043A5" w:rsidP="001043A5">
      <w:pPr>
        <w:rPr>
          <w:rFonts w:eastAsia="Malgun Gothic"/>
        </w:rPr>
      </w:pPr>
    </w:p>
    <w:sectPr w:rsidR="001043A5" w:rsidRPr="001043A5"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52764" w14:textId="77777777" w:rsidR="00F82DD0" w:rsidRDefault="00F82DD0">
      <w:r>
        <w:separator/>
      </w:r>
    </w:p>
  </w:endnote>
  <w:endnote w:type="continuationSeparator" w:id="0">
    <w:p w14:paraId="532CBD51" w14:textId="77777777" w:rsidR="00F82DD0" w:rsidRDefault="00F8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rinda">
    <w:panose1 w:val="00000000000000000000"/>
    <w:charset w:val="01"/>
    <w:family w:val="roman"/>
    <w:notTrueType/>
    <w:pitch w:val="variable"/>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5D3DD" w14:textId="77777777" w:rsidR="00F82DD0" w:rsidRDefault="00F82DD0">
      <w:r>
        <w:separator/>
      </w:r>
    </w:p>
  </w:footnote>
  <w:footnote w:type="continuationSeparator" w:id="0">
    <w:p w14:paraId="5A2B149A" w14:textId="77777777" w:rsidR="00F82DD0" w:rsidRDefault="00F82DD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45C0E1C" w14:textId="77777777" w:rsidR="00F27FEA" w:rsidRDefault="009477C7">
    <w:pPr>
      <w:pStyle w:val="Header"/>
    </w:pPr>
    <w:r>
      <w:pict w14:anchorId="7379452F">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4268088" w14:textId="77777777" w:rsidR="00F27FEA" w:rsidRDefault="009477C7">
    <w:pPr>
      <w:pStyle w:val="Header"/>
    </w:pPr>
    <w:r>
      <w:pict w14:anchorId="0E601084">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35pt;height:24pt" o:bullet="t">
        <v:imagedata r:id="rId1" o:title="clip_image001"/>
      </v:shape>
    </w:pict>
  </w:numPicBullet>
  <w:abstractNum w:abstractNumId="0">
    <w:nsid w:val="FFFFFF1D"/>
    <w:multiLevelType w:val="multilevel"/>
    <w:tmpl w:val="45C638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8">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1">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17">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1">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2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7"/>
  </w:num>
  <w:num w:numId="2">
    <w:abstractNumId w:val="22"/>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0"/>
  </w:num>
  <w:num w:numId="5">
    <w:abstractNumId w:val="4"/>
  </w:num>
  <w:num w:numId="6">
    <w:abstractNumId w:val="10"/>
  </w:num>
  <w:num w:numId="7">
    <w:abstractNumId w:val="7"/>
  </w:num>
  <w:num w:numId="8">
    <w:abstractNumId w:val="16"/>
  </w:num>
  <w:num w:numId="9">
    <w:abstractNumId w:val="18"/>
  </w:num>
  <w:num w:numId="10">
    <w:abstractNumId w:val="6"/>
  </w:num>
  <w:num w:numId="11">
    <w:abstractNumId w:val="11"/>
  </w:num>
  <w:num w:numId="12">
    <w:abstractNumId w:val="14"/>
  </w:num>
  <w:num w:numId="13">
    <w:abstractNumId w:val="5"/>
  </w:num>
  <w:num w:numId="14">
    <w:abstractNumId w:val="25"/>
  </w:num>
  <w:num w:numId="15">
    <w:abstractNumId w:val="24"/>
  </w:num>
  <w:num w:numId="16">
    <w:abstractNumId w:val="3"/>
  </w:num>
  <w:num w:numId="17">
    <w:abstractNumId w:val="8"/>
  </w:num>
  <w:num w:numId="18">
    <w:abstractNumId w:val="13"/>
  </w:num>
  <w:num w:numId="19">
    <w:abstractNumId w:val="21"/>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23"/>
  </w:num>
  <w:num w:numId="25">
    <w:abstractNumId w:val="19"/>
  </w:num>
  <w:num w:numId="26">
    <w:abstractNumId w:val="26"/>
  </w:num>
  <w:num w:numId="27">
    <w:abstractNumId w:val="1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07C52"/>
    <w:rsid w:val="000103AC"/>
    <w:rsid w:val="000140E1"/>
    <w:rsid w:val="000166DE"/>
    <w:rsid w:val="000172A0"/>
    <w:rsid w:val="00040A77"/>
    <w:rsid w:val="0004121D"/>
    <w:rsid w:val="000555CF"/>
    <w:rsid w:val="00065781"/>
    <w:rsid w:val="000661E4"/>
    <w:rsid w:val="00091166"/>
    <w:rsid w:val="00093FF8"/>
    <w:rsid w:val="000A23B1"/>
    <w:rsid w:val="000A39E4"/>
    <w:rsid w:val="000B40F8"/>
    <w:rsid w:val="000B4838"/>
    <w:rsid w:val="000C1774"/>
    <w:rsid w:val="000D3A44"/>
    <w:rsid w:val="000D60B1"/>
    <w:rsid w:val="000F3925"/>
    <w:rsid w:val="001043A5"/>
    <w:rsid w:val="00106101"/>
    <w:rsid w:val="00113288"/>
    <w:rsid w:val="00125E6C"/>
    <w:rsid w:val="00130C69"/>
    <w:rsid w:val="001530CA"/>
    <w:rsid w:val="00153D32"/>
    <w:rsid w:val="001637B1"/>
    <w:rsid w:val="00163E46"/>
    <w:rsid w:val="001711DA"/>
    <w:rsid w:val="00185533"/>
    <w:rsid w:val="00185592"/>
    <w:rsid w:val="00196379"/>
    <w:rsid w:val="001A58CF"/>
    <w:rsid w:val="001B0649"/>
    <w:rsid w:val="001B391D"/>
    <w:rsid w:val="001B7642"/>
    <w:rsid w:val="001D25BE"/>
    <w:rsid w:val="001D70ED"/>
    <w:rsid w:val="001E177E"/>
    <w:rsid w:val="001F1660"/>
    <w:rsid w:val="001F527F"/>
    <w:rsid w:val="001F7546"/>
    <w:rsid w:val="00201722"/>
    <w:rsid w:val="0022262E"/>
    <w:rsid w:val="00231B21"/>
    <w:rsid w:val="00233D0F"/>
    <w:rsid w:val="00243D0F"/>
    <w:rsid w:val="002558C3"/>
    <w:rsid w:val="002616EE"/>
    <w:rsid w:val="00266567"/>
    <w:rsid w:val="00270409"/>
    <w:rsid w:val="002942D6"/>
    <w:rsid w:val="00295F74"/>
    <w:rsid w:val="00297808"/>
    <w:rsid w:val="002A0B59"/>
    <w:rsid w:val="002A75BE"/>
    <w:rsid w:val="002B0EC7"/>
    <w:rsid w:val="002B5583"/>
    <w:rsid w:val="002C4DB3"/>
    <w:rsid w:val="002C5988"/>
    <w:rsid w:val="002D0174"/>
    <w:rsid w:val="002D3EA5"/>
    <w:rsid w:val="002D72F2"/>
    <w:rsid w:val="002F42B3"/>
    <w:rsid w:val="003028E1"/>
    <w:rsid w:val="00327B6B"/>
    <w:rsid w:val="00331C24"/>
    <w:rsid w:val="00332CA3"/>
    <w:rsid w:val="00345C29"/>
    <w:rsid w:val="00356744"/>
    <w:rsid w:val="003606E7"/>
    <w:rsid w:val="00375080"/>
    <w:rsid w:val="0037766D"/>
    <w:rsid w:val="0038175D"/>
    <w:rsid w:val="00387056"/>
    <w:rsid w:val="00397811"/>
    <w:rsid w:val="003A15A1"/>
    <w:rsid w:val="003A4A28"/>
    <w:rsid w:val="003B4722"/>
    <w:rsid w:val="003B4DD8"/>
    <w:rsid w:val="003C0387"/>
    <w:rsid w:val="003C18B8"/>
    <w:rsid w:val="003C780A"/>
    <w:rsid w:val="003D08C5"/>
    <w:rsid w:val="003D5BB8"/>
    <w:rsid w:val="003E2AAB"/>
    <w:rsid w:val="003F7B09"/>
    <w:rsid w:val="00432A8D"/>
    <w:rsid w:val="004401AB"/>
    <w:rsid w:val="004421E3"/>
    <w:rsid w:val="0044517D"/>
    <w:rsid w:val="00447F53"/>
    <w:rsid w:val="0046211C"/>
    <w:rsid w:val="00466D70"/>
    <w:rsid w:val="004841EB"/>
    <w:rsid w:val="00484A74"/>
    <w:rsid w:val="00485ED6"/>
    <w:rsid w:val="004941AC"/>
    <w:rsid w:val="004B0918"/>
    <w:rsid w:val="004B571D"/>
    <w:rsid w:val="004B789C"/>
    <w:rsid w:val="004D6138"/>
    <w:rsid w:val="004F215F"/>
    <w:rsid w:val="00502F4E"/>
    <w:rsid w:val="00510CC6"/>
    <w:rsid w:val="00527E84"/>
    <w:rsid w:val="00530370"/>
    <w:rsid w:val="005533D1"/>
    <w:rsid w:val="005646CA"/>
    <w:rsid w:val="005700B8"/>
    <w:rsid w:val="005732D3"/>
    <w:rsid w:val="00575C90"/>
    <w:rsid w:val="00580E9B"/>
    <w:rsid w:val="005837DE"/>
    <w:rsid w:val="00590771"/>
    <w:rsid w:val="00593C0C"/>
    <w:rsid w:val="00597A7A"/>
    <w:rsid w:val="005A1B2B"/>
    <w:rsid w:val="005A4C52"/>
    <w:rsid w:val="005A52C2"/>
    <w:rsid w:val="005A7BF6"/>
    <w:rsid w:val="005D50D8"/>
    <w:rsid w:val="005D51BB"/>
    <w:rsid w:val="005D784D"/>
    <w:rsid w:val="005D7F78"/>
    <w:rsid w:val="005E2FBB"/>
    <w:rsid w:val="005F7401"/>
    <w:rsid w:val="00602B70"/>
    <w:rsid w:val="006056AC"/>
    <w:rsid w:val="006142A2"/>
    <w:rsid w:val="0061546A"/>
    <w:rsid w:val="00617FF4"/>
    <w:rsid w:val="00624C4C"/>
    <w:rsid w:val="00644C52"/>
    <w:rsid w:val="00653965"/>
    <w:rsid w:val="00661971"/>
    <w:rsid w:val="00671937"/>
    <w:rsid w:val="00694EF6"/>
    <w:rsid w:val="006A7703"/>
    <w:rsid w:val="006C573A"/>
    <w:rsid w:val="006D223A"/>
    <w:rsid w:val="006E0415"/>
    <w:rsid w:val="006E1297"/>
    <w:rsid w:val="006E1639"/>
    <w:rsid w:val="006E700D"/>
    <w:rsid w:val="006E7ECF"/>
    <w:rsid w:val="006F1AC1"/>
    <w:rsid w:val="006F381A"/>
    <w:rsid w:val="006F6BF6"/>
    <w:rsid w:val="00701E15"/>
    <w:rsid w:val="00704130"/>
    <w:rsid w:val="007105B2"/>
    <w:rsid w:val="00711B77"/>
    <w:rsid w:val="00712AF7"/>
    <w:rsid w:val="00720822"/>
    <w:rsid w:val="00723D8D"/>
    <w:rsid w:val="00730A4F"/>
    <w:rsid w:val="00740E4D"/>
    <w:rsid w:val="007526DA"/>
    <w:rsid w:val="00754104"/>
    <w:rsid w:val="007560AC"/>
    <w:rsid w:val="00773DFF"/>
    <w:rsid w:val="007A0D8F"/>
    <w:rsid w:val="007A4C0C"/>
    <w:rsid w:val="007B3CB0"/>
    <w:rsid w:val="007C2EC7"/>
    <w:rsid w:val="007E7BDE"/>
    <w:rsid w:val="007F65B1"/>
    <w:rsid w:val="008005BA"/>
    <w:rsid w:val="00801249"/>
    <w:rsid w:val="00803DAC"/>
    <w:rsid w:val="008070CF"/>
    <w:rsid w:val="00833683"/>
    <w:rsid w:val="00834281"/>
    <w:rsid w:val="008345ED"/>
    <w:rsid w:val="00845277"/>
    <w:rsid w:val="008725F3"/>
    <w:rsid w:val="008735D1"/>
    <w:rsid w:val="00877D63"/>
    <w:rsid w:val="00880C10"/>
    <w:rsid w:val="00880CBE"/>
    <w:rsid w:val="008813FB"/>
    <w:rsid w:val="00887B86"/>
    <w:rsid w:val="0089176B"/>
    <w:rsid w:val="00895731"/>
    <w:rsid w:val="00897304"/>
    <w:rsid w:val="008A4725"/>
    <w:rsid w:val="008B2FF7"/>
    <w:rsid w:val="008C0E04"/>
    <w:rsid w:val="008C2533"/>
    <w:rsid w:val="00905DFD"/>
    <w:rsid w:val="00907485"/>
    <w:rsid w:val="0091424C"/>
    <w:rsid w:val="009163DD"/>
    <w:rsid w:val="0091671A"/>
    <w:rsid w:val="00920F8F"/>
    <w:rsid w:val="00922BBF"/>
    <w:rsid w:val="0092455F"/>
    <w:rsid w:val="009265BC"/>
    <w:rsid w:val="00935284"/>
    <w:rsid w:val="00935539"/>
    <w:rsid w:val="009477C7"/>
    <w:rsid w:val="00955A14"/>
    <w:rsid w:val="00957D44"/>
    <w:rsid w:val="00963851"/>
    <w:rsid w:val="0097158B"/>
    <w:rsid w:val="00973D7A"/>
    <w:rsid w:val="00982AEB"/>
    <w:rsid w:val="0099399A"/>
    <w:rsid w:val="00997D2B"/>
    <w:rsid w:val="009A1227"/>
    <w:rsid w:val="009A1A53"/>
    <w:rsid w:val="009B5373"/>
    <w:rsid w:val="009B76EE"/>
    <w:rsid w:val="009C097B"/>
    <w:rsid w:val="009C5A7D"/>
    <w:rsid w:val="009D1031"/>
    <w:rsid w:val="009D2D54"/>
    <w:rsid w:val="009D4E81"/>
    <w:rsid w:val="009E0530"/>
    <w:rsid w:val="009E3DCD"/>
    <w:rsid w:val="009F7D04"/>
    <w:rsid w:val="00A02410"/>
    <w:rsid w:val="00A06DCD"/>
    <w:rsid w:val="00A07451"/>
    <w:rsid w:val="00A2052B"/>
    <w:rsid w:val="00A25758"/>
    <w:rsid w:val="00A266C3"/>
    <w:rsid w:val="00A3008B"/>
    <w:rsid w:val="00A3015E"/>
    <w:rsid w:val="00A35B6A"/>
    <w:rsid w:val="00A420AB"/>
    <w:rsid w:val="00A51EF3"/>
    <w:rsid w:val="00A55505"/>
    <w:rsid w:val="00A7214B"/>
    <w:rsid w:val="00A74081"/>
    <w:rsid w:val="00A7538A"/>
    <w:rsid w:val="00A96236"/>
    <w:rsid w:val="00AA1947"/>
    <w:rsid w:val="00AA7D16"/>
    <w:rsid w:val="00AC185C"/>
    <w:rsid w:val="00AD342B"/>
    <w:rsid w:val="00AD36EF"/>
    <w:rsid w:val="00AE1B5A"/>
    <w:rsid w:val="00AE5956"/>
    <w:rsid w:val="00AE7E4F"/>
    <w:rsid w:val="00AF19D4"/>
    <w:rsid w:val="00AF1F6F"/>
    <w:rsid w:val="00AF594D"/>
    <w:rsid w:val="00B004C4"/>
    <w:rsid w:val="00B1463E"/>
    <w:rsid w:val="00B15B8F"/>
    <w:rsid w:val="00B16C0D"/>
    <w:rsid w:val="00B20908"/>
    <w:rsid w:val="00B2279B"/>
    <w:rsid w:val="00B425A0"/>
    <w:rsid w:val="00B45035"/>
    <w:rsid w:val="00B61894"/>
    <w:rsid w:val="00B652E9"/>
    <w:rsid w:val="00B670CD"/>
    <w:rsid w:val="00B70C4A"/>
    <w:rsid w:val="00B74AF9"/>
    <w:rsid w:val="00B77382"/>
    <w:rsid w:val="00B950A7"/>
    <w:rsid w:val="00B96CCF"/>
    <w:rsid w:val="00BA71F6"/>
    <w:rsid w:val="00BB3BE1"/>
    <w:rsid w:val="00BC6BF7"/>
    <w:rsid w:val="00BD62A6"/>
    <w:rsid w:val="00BD796C"/>
    <w:rsid w:val="00BF332A"/>
    <w:rsid w:val="00BF5735"/>
    <w:rsid w:val="00C03053"/>
    <w:rsid w:val="00C033A0"/>
    <w:rsid w:val="00C15E0F"/>
    <w:rsid w:val="00C52CE1"/>
    <w:rsid w:val="00C54580"/>
    <w:rsid w:val="00C61158"/>
    <w:rsid w:val="00C73732"/>
    <w:rsid w:val="00C77E6D"/>
    <w:rsid w:val="00C80D9B"/>
    <w:rsid w:val="00C86FDB"/>
    <w:rsid w:val="00C91283"/>
    <w:rsid w:val="00C92F96"/>
    <w:rsid w:val="00C97BF8"/>
    <w:rsid w:val="00CA5703"/>
    <w:rsid w:val="00CB371D"/>
    <w:rsid w:val="00CB735D"/>
    <w:rsid w:val="00CC7AE8"/>
    <w:rsid w:val="00CD55B8"/>
    <w:rsid w:val="00CD7F45"/>
    <w:rsid w:val="00CE0C17"/>
    <w:rsid w:val="00CF0A2D"/>
    <w:rsid w:val="00D03467"/>
    <w:rsid w:val="00D05401"/>
    <w:rsid w:val="00D15A55"/>
    <w:rsid w:val="00D16B45"/>
    <w:rsid w:val="00D220E7"/>
    <w:rsid w:val="00D25E6B"/>
    <w:rsid w:val="00D27E90"/>
    <w:rsid w:val="00D31457"/>
    <w:rsid w:val="00D375B9"/>
    <w:rsid w:val="00D56FA9"/>
    <w:rsid w:val="00D658EB"/>
    <w:rsid w:val="00D71AFB"/>
    <w:rsid w:val="00D73C7E"/>
    <w:rsid w:val="00D767CE"/>
    <w:rsid w:val="00DA2F0B"/>
    <w:rsid w:val="00DC011D"/>
    <w:rsid w:val="00DE1DB2"/>
    <w:rsid w:val="00DF39B6"/>
    <w:rsid w:val="00DF47F2"/>
    <w:rsid w:val="00DF604D"/>
    <w:rsid w:val="00E03784"/>
    <w:rsid w:val="00E05D4F"/>
    <w:rsid w:val="00E23E65"/>
    <w:rsid w:val="00E404E9"/>
    <w:rsid w:val="00E45F12"/>
    <w:rsid w:val="00E50C95"/>
    <w:rsid w:val="00E655FC"/>
    <w:rsid w:val="00E73B4C"/>
    <w:rsid w:val="00E7716C"/>
    <w:rsid w:val="00E94F17"/>
    <w:rsid w:val="00E95806"/>
    <w:rsid w:val="00EA59D3"/>
    <w:rsid w:val="00EB70B9"/>
    <w:rsid w:val="00ED1119"/>
    <w:rsid w:val="00EF0661"/>
    <w:rsid w:val="00EF1B9D"/>
    <w:rsid w:val="00F03C41"/>
    <w:rsid w:val="00F24F8B"/>
    <w:rsid w:val="00F27FEA"/>
    <w:rsid w:val="00F3082A"/>
    <w:rsid w:val="00F4041D"/>
    <w:rsid w:val="00F43594"/>
    <w:rsid w:val="00F64536"/>
    <w:rsid w:val="00F73796"/>
    <w:rsid w:val="00F77CBE"/>
    <w:rsid w:val="00F82DD0"/>
    <w:rsid w:val="00F835A9"/>
    <w:rsid w:val="00F90C1A"/>
    <w:rsid w:val="00FD0005"/>
    <w:rsid w:val="00FD069A"/>
    <w:rsid w:val="00FD073A"/>
    <w:rsid w:val="00FD5F21"/>
    <w:rsid w:val="00FE3188"/>
    <w:rsid w:val="00FF3A13"/>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6EFAF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B70C4A"/>
    <w:pPr>
      <w:pBdr>
        <w:top w:val="single" w:sz="12" w:space="0" w:color="auto"/>
      </w:pBdr>
      <w:spacing w:before="360" w:after="240"/>
    </w:pPr>
    <w:rPr>
      <w:b/>
      <w:i/>
      <w:sz w:val="26"/>
    </w:rPr>
  </w:style>
  <w:style w:type="paragraph" w:customStyle="1" w:styleId="INDENT1">
    <w:name w:val="INDENT1"/>
    <w:basedOn w:val="Normal"/>
    <w:rsid w:val="00B70C4A"/>
    <w:pPr>
      <w:ind w:left="851"/>
    </w:pPr>
  </w:style>
  <w:style w:type="paragraph" w:customStyle="1" w:styleId="INDENT2">
    <w:name w:val="INDENT2"/>
    <w:basedOn w:val="Normal"/>
    <w:rsid w:val="00B70C4A"/>
    <w:pPr>
      <w:ind w:left="1135" w:hanging="284"/>
    </w:pPr>
  </w:style>
  <w:style w:type="paragraph" w:customStyle="1" w:styleId="INDENT3">
    <w:name w:val="INDENT3"/>
    <w:basedOn w:val="Normal"/>
    <w:rsid w:val="00B70C4A"/>
    <w:pPr>
      <w:ind w:left="1701" w:hanging="567"/>
    </w:pPr>
  </w:style>
  <w:style w:type="paragraph" w:customStyle="1" w:styleId="FigureTitle">
    <w:name w:val="Figure_Title"/>
    <w:basedOn w:val="Normal"/>
    <w:next w:val="Normal"/>
    <w:rsid w:val="00B70C4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70C4A"/>
    <w:pPr>
      <w:keepNext/>
      <w:keepLines/>
    </w:pPr>
    <w:rPr>
      <w:b/>
    </w:rPr>
  </w:style>
  <w:style w:type="paragraph" w:customStyle="1" w:styleId="enumlev2">
    <w:name w:val="enumlev2"/>
    <w:basedOn w:val="Normal"/>
    <w:rsid w:val="00B70C4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70C4A"/>
    <w:pPr>
      <w:keepNext/>
      <w:keepLines/>
      <w:spacing w:before="240"/>
      <w:ind w:left="1418"/>
    </w:pPr>
    <w:rPr>
      <w:rFonts w:ascii="Arial" w:hAnsi="Arial"/>
      <w:b/>
      <w:sz w:val="36"/>
      <w:lang w:val="en-US"/>
    </w:rPr>
  </w:style>
  <w:style w:type="paragraph" w:styleId="Caption">
    <w:name w:val="caption"/>
    <w:basedOn w:val="Normal"/>
    <w:next w:val="Normal"/>
    <w:qFormat/>
    <w:rsid w:val="00B70C4A"/>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B70C4A"/>
    <w:rPr>
      <w:color w:val="800080"/>
      <w:u w:val="single"/>
    </w:rPr>
  </w:style>
  <w:style w:type="paragraph" w:styleId="DocumentMap">
    <w:name w:val="Document Map"/>
    <w:basedOn w:val="Normal"/>
    <w:link w:val="DocumentMapChar"/>
    <w:semiHidden/>
    <w:rsid w:val="00B70C4A"/>
    <w:pPr>
      <w:shd w:val="clear" w:color="auto" w:fill="000080"/>
    </w:pPr>
    <w:rPr>
      <w:rFonts w:ascii="Tahoma" w:hAnsi="Tahoma"/>
    </w:rPr>
  </w:style>
  <w:style w:type="paragraph" w:styleId="PlainText">
    <w:name w:val="Plain Text"/>
    <w:basedOn w:val="Normal"/>
    <w:link w:val="PlainTextChar"/>
    <w:rsid w:val="00B70C4A"/>
    <w:rPr>
      <w:rFonts w:ascii="Courier New" w:hAnsi="Courier New"/>
      <w:lang w:val="nb-NO"/>
    </w:rPr>
  </w:style>
  <w:style w:type="paragraph" w:customStyle="1" w:styleId="TAJ">
    <w:name w:val="TAJ"/>
    <w:basedOn w:val="TH"/>
    <w:rsid w:val="00B70C4A"/>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B70C4A"/>
  </w:style>
  <w:style w:type="character" w:styleId="CommentReference">
    <w:name w:val="annotation reference"/>
    <w:semiHidden/>
    <w:rsid w:val="00B70C4A"/>
    <w:rPr>
      <w:sz w:val="16"/>
    </w:rPr>
  </w:style>
  <w:style w:type="paragraph" w:customStyle="1" w:styleId="Guidance">
    <w:name w:val="Guidance"/>
    <w:basedOn w:val="Normal"/>
    <w:link w:val="GuidanceChar"/>
    <w:rsid w:val="00B70C4A"/>
    <w:rPr>
      <w:i/>
      <w:color w:val="0000FF"/>
    </w:rPr>
  </w:style>
  <w:style w:type="paragraph" w:styleId="CommentText">
    <w:name w:val="annotation text"/>
    <w:basedOn w:val="Normal"/>
    <w:link w:val="CommentTextChar"/>
    <w:semiHidden/>
    <w:rsid w:val="00B70C4A"/>
  </w:style>
  <w:style w:type="table" w:styleId="TableGrid">
    <w:name w:val="Table Grid"/>
    <w:basedOn w:val="TableNormal"/>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EC2588"/>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B70C4A"/>
    <w:pPr>
      <w:pBdr>
        <w:top w:val="single" w:sz="12" w:space="0" w:color="auto"/>
      </w:pBdr>
      <w:spacing w:before="360" w:after="240"/>
    </w:pPr>
    <w:rPr>
      <w:b/>
      <w:i/>
      <w:sz w:val="26"/>
    </w:rPr>
  </w:style>
  <w:style w:type="paragraph" w:customStyle="1" w:styleId="INDENT1">
    <w:name w:val="INDENT1"/>
    <w:basedOn w:val="Normal"/>
    <w:rsid w:val="00B70C4A"/>
    <w:pPr>
      <w:ind w:left="851"/>
    </w:pPr>
  </w:style>
  <w:style w:type="paragraph" w:customStyle="1" w:styleId="INDENT2">
    <w:name w:val="INDENT2"/>
    <w:basedOn w:val="Normal"/>
    <w:rsid w:val="00B70C4A"/>
    <w:pPr>
      <w:ind w:left="1135" w:hanging="284"/>
    </w:pPr>
  </w:style>
  <w:style w:type="paragraph" w:customStyle="1" w:styleId="INDENT3">
    <w:name w:val="INDENT3"/>
    <w:basedOn w:val="Normal"/>
    <w:rsid w:val="00B70C4A"/>
    <w:pPr>
      <w:ind w:left="1701" w:hanging="567"/>
    </w:pPr>
  </w:style>
  <w:style w:type="paragraph" w:customStyle="1" w:styleId="FigureTitle">
    <w:name w:val="Figure_Title"/>
    <w:basedOn w:val="Normal"/>
    <w:next w:val="Normal"/>
    <w:rsid w:val="00B70C4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70C4A"/>
    <w:pPr>
      <w:keepNext/>
      <w:keepLines/>
    </w:pPr>
    <w:rPr>
      <w:b/>
    </w:rPr>
  </w:style>
  <w:style w:type="paragraph" w:customStyle="1" w:styleId="enumlev2">
    <w:name w:val="enumlev2"/>
    <w:basedOn w:val="Normal"/>
    <w:rsid w:val="00B70C4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70C4A"/>
    <w:pPr>
      <w:keepNext/>
      <w:keepLines/>
      <w:spacing w:before="240"/>
      <w:ind w:left="1418"/>
    </w:pPr>
    <w:rPr>
      <w:rFonts w:ascii="Arial" w:hAnsi="Arial"/>
      <w:b/>
      <w:sz w:val="36"/>
      <w:lang w:val="en-US"/>
    </w:rPr>
  </w:style>
  <w:style w:type="paragraph" w:styleId="Caption">
    <w:name w:val="caption"/>
    <w:basedOn w:val="Normal"/>
    <w:next w:val="Normal"/>
    <w:qFormat/>
    <w:rsid w:val="00B70C4A"/>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B70C4A"/>
    <w:rPr>
      <w:color w:val="800080"/>
      <w:u w:val="single"/>
    </w:rPr>
  </w:style>
  <w:style w:type="paragraph" w:styleId="DocumentMap">
    <w:name w:val="Document Map"/>
    <w:basedOn w:val="Normal"/>
    <w:link w:val="DocumentMapChar"/>
    <w:semiHidden/>
    <w:rsid w:val="00B70C4A"/>
    <w:pPr>
      <w:shd w:val="clear" w:color="auto" w:fill="000080"/>
    </w:pPr>
    <w:rPr>
      <w:rFonts w:ascii="Tahoma" w:hAnsi="Tahoma"/>
    </w:rPr>
  </w:style>
  <w:style w:type="paragraph" w:styleId="PlainText">
    <w:name w:val="Plain Text"/>
    <w:basedOn w:val="Normal"/>
    <w:link w:val="PlainTextChar"/>
    <w:rsid w:val="00B70C4A"/>
    <w:rPr>
      <w:rFonts w:ascii="Courier New" w:hAnsi="Courier New"/>
      <w:lang w:val="nb-NO"/>
    </w:rPr>
  </w:style>
  <w:style w:type="paragraph" w:customStyle="1" w:styleId="TAJ">
    <w:name w:val="TAJ"/>
    <w:basedOn w:val="TH"/>
    <w:rsid w:val="00B70C4A"/>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B70C4A"/>
  </w:style>
  <w:style w:type="character" w:styleId="CommentReference">
    <w:name w:val="annotation reference"/>
    <w:semiHidden/>
    <w:rsid w:val="00B70C4A"/>
    <w:rPr>
      <w:sz w:val="16"/>
    </w:rPr>
  </w:style>
  <w:style w:type="paragraph" w:customStyle="1" w:styleId="Guidance">
    <w:name w:val="Guidance"/>
    <w:basedOn w:val="Normal"/>
    <w:link w:val="GuidanceChar"/>
    <w:rsid w:val="00B70C4A"/>
    <w:rPr>
      <w:i/>
      <w:color w:val="0000FF"/>
    </w:rPr>
  </w:style>
  <w:style w:type="paragraph" w:styleId="CommentText">
    <w:name w:val="annotation text"/>
    <w:basedOn w:val="Normal"/>
    <w:link w:val="CommentTextChar"/>
    <w:semiHidden/>
    <w:rsid w:val="00B70C4A"/>
  </w:style>
  <w:style w:type="table" w:styleId="TableGrid">
    <w:name w:val="Table Grid"/>
    <w:basedOn w:val="TableNormal"/>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EC2588"/>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 template\3gpp_70.dot</Template>
  <TotalTime>4</TotalTime>
  <Pages>2</Pages>
  <Words>777</Words>
  <Characters>4430</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5197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John Kim</cp:lastModifiedBy>
  <cp:revision>4</cp:revision>
  <cp:lastPrinted>2007-09-06T18:59:00Z</cp:lastPrinted>
  <dcterms:created xsi:type="dcterms:W3CDTF">2014-09-29T18:50:00Z</dcterms:created>
  <dcterms:modified xsi:type="dcterms:W3CDTF">2014-09-29T21:00:00Z</dcterms:modified>
</cp:coreProperties>
</file>